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122" w:tblpY="2090"/>
        <w:tblOverlap w:val="never"/>
        <w:tblW w:w="9760" w:type="dxa"/>
        <w:tblInd w:w="0" w:type="dxa"/>
        <w:shd w:val="clear" w:color="auto" w:fill="auto"/>
        <w:tblLayout w:type="fixed"/>
        <w:tblCellMar>
          <w:top w:w="0" w:type="dxa"/>
          <w:left w:w="0" w:type="dxa"/>
          <w:bottom w:w="0" w:type="dxa"/>
          <w:right w:w="0" w:type="dxa"/>
        </w:tblCellMar>
      </w:tblPr>
      <w:tblGrid>
        <w:gridCol w:w="597"/>
        <w:gridCol w:w="3182"/>
        <w:gridCol w:w="3407"/>
        <w:gridCol w:w="1776"/>
        <w:gridCol w:w="798"/>
      </w:tblGrid>
      <w:tr>
        <w:tblPrEx>
          <w:shd w:val="clear" w:color="auto" w:fill="auto"/>
          <w:tblLayout w:type="fixed"/>
          <w:tblCellMar>
            <w:top w:w="0" w:type="dxa"/>
            <w:left w:w="0" w:type="dxa"/>
            <w:bottom w:w="0" w:type="dxa"/>
            <w:right w:w="0" w:type="dxa"/>
          </w:tblCellMar>
        </w:tblPrEx>
        <w:trPr>
          <w:trHeight w:val="722" w:hRule="atLeast"/>
        </w:trPr>
        <w:tc>
          <w:tcPr>
            <w:tcW w:w="976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bookmarkEnd w:id="0"/>
            <w:r>
              <w:rPr>
                <w:rFonts w:hint="eastAsia" w:ascii="宋体" w:hAnsi="宋体" w:eastAsia="宋体" w:cs="宋体"/>
                <w:b/>
                <w:i w:val="0"/>
                <w:color w:val="000000"/>
                <w:kern w:val="0"/>
                <w:sz w:val="36"/>
                <w:szCs w:val="36"/>
                <w:u w:val="none"/>
                <w:lang w:val="en-US" w:eastAsia="zh-CN" w:bidi="ar"/>
              </w:rPr>
              <w:t>新疆农业大学第一届研究生教学成果奖获奖项目公示名单</w:t>
            </w:r>
          </w:p>
        </w:tc>
      </w:tr>
      <w:tr>
        <w:tblPrEx>
          <w:tblLayout w:type="fixed"/>
          <w:tblCellMar>
            <w:top w:w="0" w:type="dxa"/>
            <w:left w:w="0" w:type="dxa"/>
            <w:bottom w:w="0" w:type="dxa"/>
            <w:right w:w="0" w:type="dxa"/>
          </w:tblCellMar>
        </w:tblPrEx>
        <w:trPr>
          <w:trHeight w:val="398"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推荐成果名称</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成果主要完成人姓名</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成果主要完成单位</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等级</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面向畜牧产业人才培养的研究生产学研基地建设与实践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杨开伦、黄锡霞、孟军、武坚、葛建军、禚梅、谭世新、李海</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动物科学学院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基于产学研的水利研究生创新型人才培养探索与实践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陈英杰、王维红、岳春芳、陈国新、郭海庆、牧振伟、马英杰、李莎</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水利与土木工程学院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农业院校MPA教育案例教学的理论与实践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王承武、 闫志明、蒲春玲、王华丽、王志强、杨立敏</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MPA教育中心</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新疆农业大学MPAcc一体化案例开发与教学模式探索与实践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刘维忠、丁丽萍、曹健、杨宁霞、曲琳琳</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经济与贸易学院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1089"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聚焦培养目标转变培养意识服务地方经济——新疆农业大学兽医硕士培养模式改革与实践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王金泉</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姚刚</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郭庆勇</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赵红琼</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况玲 苏战强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买占海</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卢亚宾</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李勤凡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李斌</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付强</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史慧君</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动物医学学院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马兽医硕士研究生教学模式的建立及人才培养</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况玲、买占海、卢亚宾、王金泉、赵红琼</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动物医学学院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1089"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食品微生物与发酵工程学优质课程建设及创新人才培养模式的探索与实践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武运、冯思豫、孟利明、夏俊芳、李莉、王伟、周建中、包晓玮</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食品科学与药学学院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现代动物育种原理与方法课程体系创新建设与实践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黄锡霞、刘武军、依明·苏来曼、邵勇钢</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动物科学学院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1089"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产学研深度融合条件下水利工程专业学位研究生实践创新能力的培养模式</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何建新、宫经伟、张凌凯、刘亮、杨海华</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水利与土木工程学院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《生物电子显微镜技术》研究生平台课程建设与应用</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翟少华、王金泉、郝翠兰、卢亚宾、张晓红、李淑娴、刘来珍、马雪连</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动物医学学院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公共管理（MPA）专业学位网络教学改革研究与实践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闫志明、蒲春玲、嘉晓蕾、蒲钰峰、王丹、刘永伟、刘金芝、宁静</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MPA教育中心</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74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《交通流理论》优质课程建设与实践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朱兴林、谢海巍、刘泓君、刘尊青、艾尔肯•托呼提、珠力克</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交通与物流工程学院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97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基于需求分析的学术型硕士研究生“厚基础+促学术”英语教学改革实践</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周川、张建磊、马琴、孙旭辉、赵静</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r>
        <w:tblPrEx>
          <w:tblLayout w:type="fixed"/>
          <w:tblCellMar>
            <w:top w:w="0" w:type="dxa"/>
            <w:left w:w="0" w:type="dxa"/>
            <w:bottom w:w="0" w:type="dxa"/>
            <w:right w:w="0" w:type="dxa"/>
          </w:tblCellMar>
        </w:tblPrEx>
        <w:trPr>
          <w:trHeight w:val="554"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精准农业课程案例教学与实施</w:t>
            </w:r>
          </w:p>
        </w:tc>
        <w:tc>
          <w:tcPr>
            <w:tcW w:w="3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韩长杰、郭辉、周军、尤佳</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机电工程学院</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三等奖</w:t>
            </w:r>
          </w:p>
        </w:tc>
      </w:tr>
    </w:tbl>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14337"/>
    <w:rsid w:val="08585FC2"/>
    <w:rsid w:val="08B53FCB"/>
    <w:rsid w:val="0D9821D9"/>
    <w:rsid w:val="0DB14345"/>
    <w:rsid w:val="0E2722CC"/>
    <w:rsid w:val="12152D13"/>
    <w:rsid w:val="203D32D4"/>
    <w:rsid w:val="340461E3"/>
    <w:rsid w:val="3C9E5D02"/>
    <w:rsid w:val="53914337"/>
    <w:rsid w:val="5E125C6E"/>
    <w:rsid w:val="64E95C5F"/>
    <w:rsid w:val="7078100B"/>
    <w:rsid w:val="7518392D"/>
    <w:rsid w:val="7B3D74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50" w:beforeLines="50" w:after="50" w:afterLines="50" w:line="240" w:lineRule="auto"/>
      <w:jc w:val="center"/>
      <w:outlineLvl w:val="0"/>
    </w:pPr>
    <w:rPr>
      <w:rFonts w:ascii="Calibri" w:hAnsi="Calibri" w:eastAsia="黑体" w:cs="黑体"/>
      <w:bCs/>
      <w:sz w:val="32"/>
      <w:szCs w:val="22"/>
    </w:rPr>
  </w:style>
  <w:style w:type="paragraph" w:styleId="3">
    <w:name w:val="heading 2"/>
    <w:basedOn w:val="1"/>
    <w:next w:val="1"/>
    <w:semiHidden/>
    <w:unhideWhenUsed/>
    <w:qFormat/>
    <w:uiPriority w:val="0"/>
    <w:pPr>
      <w:keepNext/>
      <w:keepLines/>
      <w:spacing w:before="50" w:beforeLines="50" w:beforeAutospacing="0" w:afterLines="0" w:afterAutospacing="0" w:line="360" w:lineRule="auto"/>
      <w:ind w:firstLine="0" w:firstLineChars="0"/>
      <w:outlineLvl w:val="1"/>
    </w:pPr>
    <w:rPr>
      <w:rFonts w:ascii="Arial" w:hAnsi="Arial" w:eastAsia="黑体" w:cs="黑体"/>
      <w:sz w:val="30"/>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ascii="Calibri" w:hAnsi="Calibri" w:eastAsia="宋体" w:cs="黑体"/>
      <w:sz w:val="28"/>
      <w:szCs w:val="22"/>
    </w:rPr>
  </w:style>
  <w:style w:type="paragraph" w:styleId="5">
    <w:name w:val="heading 4"/>
    <w:basedOn w:val="1"/>
    <w:next w:val="1"/>
    <w:semiHidden/>
    <w:unhideWhenUsed/>
    <w:qFormat/>
    <w:uiPriority w:val="0"/>
    <w:pPr>
      <w:keepNext/>
      <w:keepLines/>
      <w:spacing w:beforeLines="0" w:beforeAutospacing="0" w:afterLines="0" w:afterAutospacing="0" w:line="300" w:lineRule="auto"/>
      <w:ind w:firstLine="0" w:firstLineChars="0"/>
      <w:outlineLvl w:val="3"/>
    </w:pPr>
    <w:rPr>
      <w:rFonts w:ascii="Arial" w:hAnsi="Arial" w:eastAsia="楷体"/>
      <w:sz w:val="2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8">
    <w:name w:val="List Paragraph"/>
    <w:basedOn w:val="1"/>
    <w:uiPriority w:val="0"/>
    <w:pPr>
      <w:spacing w:before="50" w:beforeLines="50" w:after="50" w:afterLines="50"/>
      <w:ind w:firstLine="0" w:firstLineChars="0"/>
      <w:jc w:val="center"/>
    </w:pPr>
    <w:rPr>
      <w:rFonts w:ascii="Calibri" w:hAnsi="Calibri" w:eastAsia="黑体" w:cs="黑体"/>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2020-07-03T11:52:00Z</dcterms:created>
  <dc:creator>Du  。</dc:creator>
  <cp:lastModifiedBy>Du  。</cp:lastModifiedBy>
  <dcterms:modified xsi:type="dcterms:W3CDTF">2020-07-03T11:53:23Z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